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</w:t>
      </w:r>
      <w:r>
        <w:rPr>
          <w:rFonts w:ascii="Arial" w:hAnsi="Arial"/>
        </w:rPr>
        <w:t>.</w:t>
        <w:tab/>
        <w:tab/>
        <w:tab/>
        <w:tab/>
        <w:t>........…………………………….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imię i nazwisko/nazwa firmy</w:t>
        <w:tab/>
        <w:tab/>
        <w:tab/>
        <w:tab/>
        <w:tab/>
        <w:t>miejscowość,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adres zamieszkania/siedziba firmy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numer telefonu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right"/>
        <w:rPr/>
      </w:pP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>urmistrz Miasta Rejowiec Fabryczny</w:t>
      </w:r>
      <w:r>
        <w:rPr>
          <w:rFonts w:ascii="Arial" w:hAnsi="Arial"/>
          <w:b/>
          <w:bCs/>
        </w:rPr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ul. Lubelska 1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ab/>
        <w:tab/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22-170 Rejowiec Fabryczny</w:t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 w:val="false"/>
          <w:bCs w:val="false"/>
        </w:rPr>
        <w:t xml:space="preserve">Zwracam się z wnioskiem o wydanie decyzji zatwierdzającej projekt podziału nieruchomości oznaczonej ewidencyjnie działką nr ……………. </w:t>
      </w:r>
      <w:r>
        <w:rPr>
          <w:rFonts w:ascii="Arial" w:hAnsi="Arial"/>
          <w:b w:val="false"/>
          <w:bCs w:val="false"/>
        </w:rPr>
        <w:t>w obrębie nr ……..</w:t>
        <w:br/>
      </w:r>
      <w:r>
        <w:rPr>
          <w:rFonts w:ascii="Arial" w:hAnsi="Arial"/>
          <w:b w:val="false"/>
          <w:bCs w:val="false"/>
        </w:rPr>
        <w:t>o pow. ……………….. ha, położonej w Rejowcu Fabryczny.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</w:rPr>
        <w:t>C</w:t>
      </w:r>
      <w:r>
        <w:rPr>
          <w:rFonts w:ascii="Arial" w:hAnsi="Arial"/>
          <w:b w:val="false"/>
          <w:bCs w:val="false"/>
        </w:rPr>
        <w:t xml:space="preserve">elem </w:t>
      </w:r>
      <w:r>
        <w:rPr>
          <w:rFonts w:ascii="Arial" w:hAnsi="Arial"/>
          <w:b w:val="false"/>
          <w:bCs w:val="false"/>
        </w:rPr>
        <w:t>przedmiotowego podziału jest …………………………………………………………….</w:t>
        <w:br/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</w:rPr>
        <w:t>N</w:t>
      </w:r>
      <w:r>
        <w:rPr>
          <w:rFonts w:ascii="Arial" w:hAnsi="Arial"/>
          <w:b w:val="false"/>
          <w:bCs w:val="false"/>
        </w:rPr>
        <w:t>ieruchomość uregulowana jest w KW nr …….. (lub inny tytuł własności …………………..)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……………………………………</w:t>
      </w:r>
      <w:r>
        <w:rPr>
          <w:rFonts w:ascii="Arial" w:hAnsi="Arial"/>
          <w:b w:val="false"/>
          <w:bCs w:val="false"/>
          <w:u w:val="none"/>
        </w:rPr>
        <w:t>.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  <w:t>podpis wnioskodawcy</w:t>
        <w:tab/>
        <w:t xml:space="preserve">        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  <w:t>Do wniosku załączam następujące dokumenty: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Dokument stwierdzający tytuł prawny do nieruchomości (np. aktualny odpis księgi wieczystej) lub oświadczenie, o którym mowa w art. 116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ust. 2 pkt 4 ustawy z 21 sierpnia 1997 r. o gospodarce nieruchomościami ( Dz. U. z 2014 r. poz. 518 z późn. zm.),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W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ypis z ewidencji gruntów i kopię mapy obejmującej nieruchomości podlegającą podziałowi,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Decyzja o warunkach zabudowy i zagospodarowania terenu (jeżeli była wydana przed dniem złożenia wniosku o podział),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Wstępny projekt podziału z wyjątkiem podziałów, o których mowa w art. 95 ustawy z 21 sierpnia 1997 r. o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gospodarce nieruchomościami (Dz. U. z 2014 r. poz. 518 z późn. zm.),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Protokół z przyjęcia granic nieruchomości,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Wykaz zmian gruntowych,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Wykaz synchronizacyjny (jeżeli oznaczenie działek gruntu w katastrze nieruchomości jest inne niż w księdze wieczystej),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Mapa z projektem podziału.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Normal"/>
        <w:tabs>
          <w:tab w:val="left" w:pos="1788" w:leader="none"/>
        </w:tabs>
        <w:bidi w:val="0"/>
        <w:spacing w:lineRule="auto" w:line="240" w:before="0" w:after="0"/>
        <w:ind w:left="1068" w:right="0" w:hanging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Klauzula informacyjna </w:t>
      </w:r>
    </w:p>
    <w:p>
      <w:pPr>
        <w:pStyle w:val="Normal"/>
        <w:tabs>
          <w:tab w:val="left" w:pos="1440" w:leader="none"/>
        </w:tabs>
        <w:bidi w:val="0"/>
        <w:spacing w:lineRule="auto" w:line="240" w:before="0" w:after="0"/>
        <w:ind w:left="720" w:right="0" w:hanging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danych), dalej RODO, informuję, iż: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160"/>
        <w:ind w:left="284" w:right="0" w:hanging="284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jest Burmistrz Rejowca Fabrycznego, ul. Lubelska 16. 22-170 Rejowiec Fabryczny, email: </w:t>
      </w:r>
      <w:hyperlink r:id="rId2">
        <w:r>
          <w:rPr>
            <w:rStyle w:val="ListLabel1"/>
            <w:rFonts w:cs="Times New Roman" w:ascii="Times New Roman" w:hAnsi="Times New Roman"/>
            <w:color w:val="0563C1"/>
            <w:sz w:val="24"/>
            <w:szCs w:val="24"/>
            <w:u w:val="single"/>
          </w:rPr>
          <w:t>info@rejowiec.pl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tel. 82 566 32 77; 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160"/>
        <w:ind w:left="284" w:right="0" w:hanging="284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Kontakt z Inspektorem Ochrony Danych we wszystkich sprawach dotyczących przetwarzania danych osobowych oraz korzystania z praw związanych z przetwarzaniem danych osobowych możliwy jest pod adresem: </w:t>
      </w:r>
      <w:hyperlink r:id="rId3">
        <w:r>
          <w:rPr>
            <w:rStyle w:val="ListLabel2"/>
            <w:rFonts w:cs="Times New Roman" w:ascii="Times New Roman" w:hAnsi="Times New Roman"/>
            <w:color w:val="0563C1"/>
            <w:sz w:val="24"/>
            <w:szCs w:val="24"/>
            <w:u w:val="single"/>
          </w:rPr>
          <w:t>iod@zeto.lublin.pl</w:t>
        </w:r>
      </w:hyperlink>
      <w:r>
        <w:rPr>
          <w:rFonts w:cs="Times New Roman" w:ascii="Times New Roman" w:hAnsi="Times New Roman"/>
          <w:color w:val="0563C1"/>
          <w:sz w:val="24"/>
          <w:szCs w:val="24"/>
          <w:u w:val="single"/>
        </w:rPr>
        <w:t>.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240"/>
        <w:ind w:left="426" w:righ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 Pana dane osobowe przetwarzane będą w celu wydania decyzji dotyczącej projektu podziału nieruchomości na podstawie art. 6 ust. 1 lit. c RODO – wypełnienie obowiązku prawnego ciążącego na administratorze w zw. z art. 96 oraz 97 ustawy z dnia 21 sierpnia 1997r.  o gospodarce nieruchomościami.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240"/>
        <w:ind w:left="426" w:righ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Odbiorcami Pani/Pana danych osobowych są podmioty uprawnione na podstawie przepisów prawa i podmioty świadczące usługi wsparcia i serwisu dla Urzędu.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160"/>
        <w:ind w:left="284" w:right="0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160"/>
        <w:ind w:left="284" w:righ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Pani/Pan prawo do żądania od Administratora dostępu do swoich danych osobowych, ich sprostowania oraz ograniczenia przetwarzania.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160"/>
        <w:ind w:left="284" w:righ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Pani/Pan prawo wniesienia skargi do organu nadzorczego, którym jest Prezes Urzędu Ochrony Danych Osobowych z siedzibą ul. Stawki 2, 00-193 Warszawa.</w:t>
      </w:r>
    </w:p>
    <w:p>
      <w:pPr>
        <w:pStyle w:val="Normal"/>
        <w:numPr>
          <w:ilvl w:val="0"/>
          <w:numId w:val="1"/>
        </w:numPr>
        <w:bidi w:val="0"/>
        <w:spacing w:lineRule="auto" w:line="360" w:before="240" w:after="160"/>
        <w:ind w:left="284" w:right="0" w:hanging="284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Podanie przez Panią/Pana danych osobowych w zakresie wymaganym ustawodawstwem jest obligatoryjne. Konsekwencją niepodania danych osobowych będzie brak możliwości wydania decyzji. </w:t>
      </w:r>
    </w:p>
    <w:p>
      <w:pPr>
        <w:pStyle w:val="Normal"/>
        <w:bidi w:val="0"/>
        <w:spacing w:lineRule="auto" w:line="360" w:before="240" w:after="160"/>
        <w:ind w:left="284" w:right="0" w:hanging="284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spacing w:lineRule="auto" w:line="360" w:before="240" w:after="160"/>
        <w:ind w:left="284" w:right="0" w:hanging="284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spacing w:lineRule="auto" w:line="360" w:before="240" w:after="160"/>
        <w:ind w:left="284" w:right="0" w:hanging="284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……………………………………………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..</w:t>
      </w:r>
    </w:p>
    <w:p>
      <w:pPr>
        <w:pStyle w:val="Normal"/>
        <w:bidi w:val="0"/>
        <w:spacing w:lineRule="auto" w:line="360" w:before="240" w:after="160"/>
        <w:ind w:left="284" w:right="0" w:hanging="284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(podpis wnioskodawcy)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</w:tabs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ejowiec.pl" TargetMode="External"/><Relationship Id="rId3" Type="http://schemas.openxmlformats.org/officeDocument/2006/relationships/hyperlink" Target="mailto:iod@zeto.lublin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LibreOffice/7.1.4.2$Windows_X86_64 LibreOffice_project/a529a4fab45b75fefc5b6226684193eb000654f6</Application>
  <AppVersion>15.0000</AppVersion>
  <Pages>2</Pages>
  <Words>492</Words>
  <Characters>3226</Characters>
  <CharactersWithSpaces>3702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2021-01-22T10:40:17Z</dcterms:created>
  <dc:creator/>
  <dc:description/>
  <dc:language>pl-PL</dc:language>
  <cp:lastModifiedBy/>
  <dcterms:modified xsi:type="dcterms:W3CDTF">2021-09-16T09:19:06Z</dcterms:modified>
  <cp:revision>5</cp:revision>
  <dc:subject/>
  <dc:title/>
</cp:coreProperties>
</file>